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D4622B"/>
          <w:sz w:val="20"/>
          <w:szCs w:val="20"/>
        </w:rPr>
        <w:t xml:space="preserve">MTD CLIENT LETTER TEMPLATE</w:t>
      </w:r>
    </w:p>
    <w:p>
      <w:pPr>
        <w:spacing w:after="320"/>
      </w:pPr>
      <w:r>
        <w:rPr>
          <w:rFonts w:ascii="Calibri" w:cs="Calibri" w:eastAsia="Calibri" w:hAnsi="Calibri"/>
          <w:color w:val="7A7F8C"/>
          <w:sz w:val="18"/>
          <w:szCs w:val="18"/>
        </w:rPr>
        <w:t xml:space="preserve">A free resource from Zenlio, for any accountancy practice to use</w:t>
      </w:r>
    </w:p>
    <w:p>
      <w:pPr>
        <w:spacing w:after="160" w:before="300"/>
      </w:pPr>
      <w:r>
        <w:rPr>
          <w:rFonts w:ascii="Calibri" w:cs="Calibri" w:eastAsia="Calibri" w:hAnsi="Calibri"/>
          <w:b/>
          <w:bCs/>
          <w:color w:val="0C1E33"/>
          <w:sz w:val="28"/>
          <w:szCs w:val="28"/>
        </w:rPr>
        <w:t xml:space="preserve">How to use this</w:t>
      </w:r>
    </w:p>
    <w:p>
      <w:pPr>
        <w:spacing w:after="200"/>
      </w:pPr>
      <w:r>
        <w:rPr>
          <w:rFonts w:ascii="Calibri" w:cs="Calibri" w:eastAsia="Calibri" w:hAnsi="Calibri"/>
          <w:b w:val="false"/>
          <w:bCs w:val="false"/>
          <w:i w:val="false"/>
          <w:iCs w:val="false"/>
          <w:color w:val="1A1A1A"/>
          <w:sz w:val="22"/>
          <w:szCs w:val="22"/>
        </w:rPr>
        <w:t xml:space="preserve">This is a plain-English letter you can send to clients who are affected, or about to be affected, by Making Tax Digital for Income Tax. Put it on your own letterhead, adjust the bracketed sections, and send it as it is or fold it into your usual client comms.</w:t>
      </w:r>
    </w:p>
    <w:p>
      <w:pPr>
        <w:spacing w:after="200"/>
      </w:pPr>
      <w:r>
        <w:rPr>
          <w:rFonts w:ascii="Calibri" w:cs="Calibri" w:eastAsia="Calibri" w:hAnsi="Calibri"/>
          <w:b w:val="false"/>
          <w:bCs w:val="false"/>
          <w:i w:val="false"/>
          <w:iCs w:val="false"/>
          <w:color w:val="1A1A1A"/>
          <w:sz w:val="22"/>
          <w:szCs w:val="22"/>
        </w:rPr>
        <w:t xml:space="preserve">It's built to explain the change without frightening anyone or drowning them in HMRC terminology. Feel free to shorten it, soften it, or make it sound more like you. There's no obligation attached to using it, and no need to credit Zenlio anywhere in the version you send.</w:t>
      </w:r>
    </w:p>
    <w:tbl>
      <w:tblPr>
        <w:tblW w:type="pct" w:w="100%"/>
        <w:tblBorders>
          <w:top w:val="single" w:color="E2DFD9" w:sz="4"/>
          <w:left w:val="single" w:color="E2DFD9" w:sz="4"/>
          <w:bottom w:val="single" w:color="E2DFD9" w:sz="4"/>
          <w:right w:val="single" w:color="E2DFD9" w:sz="4"/>
          <w:insideH w:val="none" w:color="FFFFFF" w:sz="0"/>
          <w:insideV w:val="none" w:color="FFFFFF" w:sz="0"/>
        </w:tblBorders>
      </w:tblPr>
      <w:tblGrid>
        <w:gridCol w:w="100"/>
      </w:tblGrid>
      <w:tr>
        <w:tc>
          <w:tcPr>
            <w:tcW w:type="pct" w:w="100%"/>
            <w:shd w:fill="FDF3ED" w:color="auto" w:val="clear"/>
            <w:tcMar>
              <w:top w:type="dxa" w:w="200"/>
              <w:left w:type="dxa" w:w="240"/>
              <w:bottom w:type="dxa" w:w="200"/>
              <w:right w:type="dxa" w:w="240"/>
            </w:tcMar>
          </w:tcPr>
          <w:p>
            <w:pPr>
              <w:spacing w:after="100"/>
            </w:pPr>
            <w:r>
              <w:rPr>
                <w:rFonts w:ascii="Calibri" w:cs="Calibri" w:eastAsia="Calibri" w:hAnsi="Calibri"/>
                <w:b/>
                <w:bCs/>
                <w:color w:val="4A4E59"/>
                <w:sz w:val="20"/>
                <w:szCs w:val="20"/>
              </w:rPr>
              <w:t xml:space="preserve">Before you send it:</w:t>
            </w:r>
          </w:p>
          <w:p>
            <w:pPr>
              <w:spacing w:after="0"/>
            </w:pPr>
            <w:r>
              <w:rPr>
                <w:rFonts w:ascii="Calibri" w:cs="Calibri" w:eastAsia="Calibri" w:hAnsi="Calibri"/>
                <w:b w:val="false"/>
                <w:bCs w:val="false"/>
                <w:color w:val="4A4E59"/>
                <w:sz w:val="20"/>
                <w:szCs w:val="20"/>
              </w:rPr>
              <w:t xml:space="preserve">Check the facts against HMRC's current guidance for the specific client. Thresholds, dates and exemptions can vary by circumstance, and this letter is a starting point, not a substitute for your own advice.</w:t>
            </w:r>
          </w:p>
        </w:tc>
      </w:tr>
    </w:tbl>
    <w:p>
      <w:pPr>
        <w:spacing w:after="160" w:before="300"/>
      </w:pPr>
      <w:r>
        <w:rPr>
          <w:rFonts w:ascii="Calibri" w:cs="Calibri" w:eastAsia="Calibri" w:hAnsi="Calibri"/>
          <w:b/>
          <w:bCs/>
          <w:color w:val="0C1E33"/>
          <w:sz w:val="28"/>
          <w:szCs w:val="28"/>
        </w:rPr>
        <w:t xml:space="preserve">What's inside</w:t>
      </w:r>
    </w:p>
    <w:p>
      <w:pPr>
        <w:pStyle w:val="ListParagraph"/>
        <w:numPr>
          <w:ilvl w:val="0"/>
          <w:numId w:val="2"/>
        </w:numPr>
        <w:spacing w:after="120"/>
      </w:pPr>
      <w:r>
        <w:rPr>
          <w:rFonts w:ascii="Calibri" w:cs="Calibri" w:eastAsia="Calibri" w:hAnsi="Calibri"/>
          <w:color w:val="1A1A1A"/>
          <w:sz w:val="22"/>
          <w:szCs w:val="22"/>
        </w:rPr>
        <w:t xml:space="preserve">A short explanation of what's changed and why it matters to them specifically</w:t>
      </w:r>
    </w:p>
    <w:p>
      <w:pPr>
        <w:pStyle w:val="ListParagraph"/>
        <w:numPr>
          <w:ilvl w:val="0"/>
          <w:numId w:val="2"/>
        </w:numPr>
        <w:spacing w:after="120"/>
      </w:pPr>
      <w:r>
        <w:rPr>
          <w:rFonts w:ascii="Calibri" w:cs="Calibri" w:eastAsia="Calibri" w:hAnsi="Calibri"/>
          <w:color w:val="1A1A1A"/>
          <w:sz w:val="22"/>
          <w:szCs w:val="22"/>
        </w:rPr>
        <w:t xml:space="preserve">The dates and thresholds in plain terms, no jargon</w:t>
      </w:r>
    </w:p>
    <w:p>
      <w:pPr>
        <w:pStyle w:val="ListParagraph"/>
        <w:numPr>
          <w:ilvl w:val="0"/>
          <w:numId w:val="2"/>
        </w:numPr>
        <w:spacing w:after="120"/>
      </w:pPr>
      <w:r>
        <w:rPr>
          <w:rFonts w:ascii="Calibri" w:cs="Calibri" w:eastAsia="Calibri" w:hAnsi="Calibri"/>
          <w:color w:val="1A1A1A"/>
          <w:sz w:val="22"/>
          <w:szCs w:val="22"/>
        </w:rPr>
        <w:t xml:space="preserve">A clear line on what you're handling and what you need from them</w:t>
      </w:r>
    </w:p>
    <w:p>
      <w:pPr>
        <w:pStyle w:val="ListParagraph"/>
        <w:numPr>
          <w:ilvl w:val="0"/>
          <w:numId w:val="2"/>
        </w:numPr>
        <w:spacing w:after="120"/>
      </w:pPr>
      <w:r>
        <w:rPr>
          <w:rFonts w:ascii="Calibri" w:cs="Calibri" w:eastAsia="Calibri" w:hAnsi="Calibri"/>
          <w:color w:val="1A1A1A"/>
          <w:sz w:val="22"/>
          <w:szCs w:val="22"/>
        </w:rPr>
        <w:t xml:space="preserve">A version for clients who are already mandated, and a shorter note for clients approaching the 2027 threshold</w:t>
      </w:r>
    </w:p>
    <w:p>
      <w:pPr>
        <w:spacing w:after="0" w:before="400"/>
      </w:pPr>
      <w:r>
        <w:rPr>
          <w:rFonts w:ascii="Calibri" w:cs="Calibri" w:eastAsia="Calibri" w:hAnsi="Calibri"/>
          <w:color w:val="7A7F8C"/>
          <w:sz w:val="18"/>
          <w:szCs w:val="18"/>
        </w:rPr>
        <w:t xml:space="preserve">Built by </w:t>
      </w:r>
      <w:r>
        <w:rPr>
          <w:rFonts w:ascii="Calibri" w:cs="Calibri" w:eastAsia="Calibri" w:hAnsi="Calibri"/>
          <w:b/>
          <w:bCs/>
          <w:color w:val="7A7F8C"/>
          <w:sz w:val="18"/>
          <w:szCs w:val="18"/>
        </w:rPr>
        <w:t xml:space="preserve">Zenlio</w:t>
      </w:r>
      <w:r>
        <w:rPr>
          <w:rFonts w:ascii="Calibri" w:cs="Calibri" w:eastAsia="Calibri" w:hAnsi="Calibri"/>
          <w:color w:val="7A7F8C"/>
          <w:sz w:val="18"/>
          <w:szCs w:val="18"/>
        </w:rPr>
        <w:t xml:space="preserve"> — we build websites for UK accountancy practices. If you'd like your site to actually explain MTD to prospective clients the way this letter explains it to yours, we cover that at zenlio.co.uk/blog/mtd-website-2026/</w:t>
      </w:r>
    </w:p>
    <w:p>
      <w:r>
        <w:br w:type="page"/>
      </w:r>
    </w:p>
    <w:p>
      <w:pPr>
        <w:spacing w:after="40"/>
      </w:pPr>
      <w:r>
        <w:rPr>
          <w:rFonts w:ascii="Calibri" w:cs="Calibri" w:eastAsia="Calibri" w:hAnsi="Calibri"/>
          <w:i/>
          <w:iCs/>
          <w:color w:val="7A7F8C"/>
          <w:sz w:val="20"/>
          <w:szCs w:val="20"/>
        </w:rPr>
        <w:t xml:space="preserve">[Practice letterhead / logo]</w:t>
      </w:r>
    </w:p>
    <w:p>
      <w:pPr>
        <w:spacing w:after="320"/>
      </w:pPr>
      <w:r>
        <w:rPr>
          <w:rFonts w:ascii="Calibri" w:cs="Calibri" w:eastAsia="Calibri" w:hAnsi="Calibri"/>
          <w:i/>
          <w:iCs/>
          <w:color w:val="7A7F8C"/>
          <w:sz w:val="20"/>
          <w:szCs w:val="20"/>
        </w:rPr>
        <w:t xml:space="preserve">[Date]</w:t>
      </w:r>
    </w:p>
    <w:p>
      <w:pPr>
        <w:spacing w:after="200"/>
      </w:pPr>
      <w:r>
        <w:rPr>
          <w:rFonts w:ascii="Calibri" w:cs="Calibri" w:eastAsia="Calibri" w:hAnsi="Calibri"/>
          <w:b w:val="false"/>
          <w:bCs w:val="false"/>
          <w:i w:val="false"/>
          <w:iCs w:val="false"/>
          <w:color w:val="1A1A1A"/>
          <w:sz w:val="22"/>
          <w:szCs w:val="22"/>
        </w:rPr>
        <w:t xml:space="preserve">Dear [Client name],</w:t>
      </w:r>
    </w:p>
    <w:p>
      <w:pPr>
        <w:spacing w:after="160" w:before="300"/>
      </w:pPr>
      <w:r>
        <w:rPr>
          <w:rFonts w:ascii="Calibri" w:cs="Calibri" w:eastAsia="Calibri" w:hAnsi="Calibri"/>
          <w:b/>
          <w:bCs/>
          <w:color w:val="0C1E33"/>
          <w:sz w:val="24"/>
          <w:szCs w:val="24"/>
        </w:rPr>
        <w:t xml:space="preserve">Making Tax Digital for Income Tax: what it means for you</w:t>
      </w:r>
    </w:p>
    <w:p>
      <w:pPr>
        <w:spacing w:after="200"/>
      </w:pPr>
      <w:r>
        <w:rPr>
          <w:rFonts w:ascii="Calibri" w:cs="Calibri" w:eastAsia="Calibri" w:hAnsi="Calibri"/>
          <w:b w:val="false"/>
          <w:bCs w:val="false"/>
          <w:i w:val="false"/>
          <w:iCs w:val="false"/>
          <w:color w:val="1A1A1A"/>
          <w:sz w:val="22"/>
          <w:szCs w:val="22"/>
        </w:rPr>
        <w:t xml:space="preserve">You'll have heard something about Making Tax Digital, or MTD, and this letter is to explain plainly what it means for you and what we're doing about it. It replaces the old way of doing your Income Tax Self Assessment with something more frequent, but it doesn't change what you owe or when your final bill is due.</w:t>
      </w:r>
    </w:p>
    <w:p>
      <w:pPr>
        <w:spacing w:after="200"/>
      </w:pPr>
      <w:r>
        <w:rPr>
          <w:rFonts w:ascii="Calibri" w:cs="Calibri" w:eastAsia="Calibri" w:hAnsi="Calibri"/>
          <w:b w:val="false"/>
          <w:bCs w:val="false"/>
          <w:i w:val="false"/>
          <w:iCs w:val="false"/>
          <w:color w:val="1A1A1A"/>
          <w:sz w:val="22"/>
          <w:szCs w:val="22"/>
        </w:rPr>
        <w:t xml:space="preserve">From 6 April 2026, anyone with more than £50,000 in gross income from self-employment and/or property is required to keep digital records and send quarterly updates to HMRC using compatible software, rather than filing one annual return. Based on your income, this now applies to you.</w:t>
      </w:r>
    </w:p>
    <w:p>
      <w:pPr>
        <w:spacing w:after="200"/>
      </w:pPr>
      <w:r>
        <w:rPr>
          <w:rFonts w:ascii="Calibri" w:cs="Calibri" w:eastAsia="Calibri" w:hAnsi="Calibri"/>
          <w:b w:val="false"/>
          <w:bCs w:val="false"/>
          <w:i w:val="false"/>
          <w:iCs w:val="false"/>
          <w:color w:val="1A1A1A"/>
          <w:sz w:val="22"/>
          <w:szCs w:val="22"/>
        </w:rPr>
        <w:t xml:space="preserve">In practice, that means four short updates a year instead of one big one, plus a final declaration at the end. It sounds like more admin, but it's mostly small, regular pieces rather than one large task, and we're handling the submissions on your behalf.</w:t>
      </w:r>
    </w:p>
    <w:p>
      <w:pPr>
        <w:spacing w:after="160" w:before="300"/>
      </w:pPr>
      <w:r>
        <w:rPr>
          <w:rFonts w:ascii="Calibri" w:cs="Calibri" w:eastAsia="Calibri" w:hAnsi="Calibri"/>
          <w:b/>
          <w:bCs/>
          <w:color w:val="0C1E33"/>
          <w:sz w:val="22"/>
          <w:szCs w:val="22"/>
        </w:rPr>
        <w:t xml:space="preserve">What we're doing</w:t>
      </w:r>
    </w:p>
    <w:p>
      <w:pPr>
        <w:pStyle w:val="ListParagraph"/>
        <w:numPr>
          <w:ilvl w:val="0"/>
          <w:numId w:val="2"/>
        </w:numPr>
        <w:spacing w:after="120"/>
      </w:pPr>
      <w:r>
        <w:rPr>
          <w:rFonts w:ascii="Calibri" w:cs="Calibri" w:eastAsia="Calibri" w:hAnsi="Calibri"/>
          <w:color w:val="1A1A1A"/>
          <w:sz w:val="22"/>
          <w:szCs w:val="22"/>
        </w:rPr>
        <w:t xml:space="preserve">Setting up digital record-keeping through [software you use, e.g. Xero, QuickBooks, FreeAgent or Dext]</w:t>
      </w:r>
    </w:p>
    <w:p>
      <w:pPr>
        <w:pStyle w:val="ListParagraph"/>
        <w:numPr>
          <w:ilvl w:val="0"/>
          <w:numId w:val="2"/>
        </w:numPr>
        <w:spacing w:after="120"/>
      </w:pPr>
      <w:r>
        <w:rPr>
          <w:rFonts w:ascii="Calibri" w:cs="Calibri" w:eastAsia="Calibri" w:hAnsi="Calibri"/>
          <w:color w:val="1A1A1A"/>
          <w:sz w:val="22"/>
          <w:szCs w:val="22"/>
        </w:rPr>
        <w:t xml:space="preserve">Submitting your quarterly updates to HMRC on the correct dates</w:t>
      </w:r>
    </w:p>
    <w:p>
      <w:pPr>
        <w:pStyle w:val="ListParagraph"/>
        <w:numPr>
          <w:ilvl w:val="0"/>
          <w:numId w:val="2"/>
        </w:numPr>
        <w:spacing w:after="120"/>
      </w:pPr>
      <w:r>
        <w:rPr>
          <w:rFonts w:ascii="Calibri" w:cs="Calibri" w:eastAsia="Calibri" w:hAnsi="Calibri"/>
          <w:color w:val="1A1A1A"/>
          <w:sz w:val="22"/>
          <w:szCs w:val="22"/>
        </w:rPr>
        <w:t xml:space="preserve">Keeping you clear of the transitional rules, so nothing falls between the old system and the new one</w:t>
      </w:r>
    </w:p>
    <w:p>
      <w:pPr>
        <w:pStyle w:val="ListParagraph"/>
        <w:numPr>
          <w:ilvl w:val="0"/>
          <w:numId w:val="2"/>
        </w:numPr>
        <w:spacing w:after="120"/>
      </w:pPr>
      <w:r>
        <w:rPr>
          <w:rFonts w:ascii="Calibri" w:cs="Calibri" w:eastAsia="Calibri" w:hAnsi="Calibri"/>
          <w:color w:val="1A1A1A"/>
          <w:sz w:val="22"/>
          <w:szCs w:val="22"/>
        </w:rPr>
        <w:t xml:space="preserve">Flagging anything that needs your input in good time, not at the last minute</w:t>
      </w:r>
    </w:p>
    <w:p>
      <w:pPr>
        <w:spacing w:after="160" w:before="300"/>
      </w:pPr>
      <w:r>
        <w:rPr>
          <w:rFonts w:ascii="Calibri" w:cs="Calibri" w:eastAsia="Calibri" w:hAnsi="Calibri"/>
          <w:b/>
          <w:bCs/>
          <w:color w:val="0C1E33"/>
          <w:sz w:val="22"/>
          <w:szCs w:val="22"/>
        </w:rPr>
        <w:t xml:space="preserve">What we need from you</w:t>
      </w:r>
    </w:p>
    <w:p>
      <w:pPr>
        <w:pStyle w:val="ListParagraph"/>
        <w:numPr>
          <w:ilvl w:val="0"/>
          <w:numId w:val="2"/>
        </w:numPr>
        <w:spacing w:after="120"/>
      </w:pPr>
      <w:r>
        <w:rPr>
          <w:rFonts w:ascii="Calibri" w:cs="Calibri" w:eastAsia="Calibri" w:hAnsi="Calibri"/>
          <w:color w:val="1A1A1A"/>
          <w:sz w:val="22"/>
          <w:szCs w:val="22"/>
        </w:rPr>
        <w:t xml:space="preserve">Keep sending us your records the way you already do, just a little more often</w:t>
      </w:r>
    </w:p>
    <w:p>
      <w:pPr>
        <w:pStyle w:val="ListParagraph"/>
        <w:numPr>
          <w:ilvl w:val="0"/>
          <w:numId w:val="2"/>
        </w:numPr>
        <w:spacing w:after="120"/>
      </w:pPr>
      <w:r>
        <w:rPr>
          <w:rFonts w:ascii="Calibri" w:cs="Calibri" w:eastAsia="Calibri" w:hAnsi="Calibri"/>
          <w:color w:val="1A1A1A"/>
          <w:sz w:val="22"/>
          <w:szCs w:val="22"/>
        </w:rPr>
        <w:t xml:space="preserve">Let us know promptly about any changes to your income or circumstances</w:t>
      </w:r>
    </w:p>
    <w:p>
      <w:pPr>
        <w:pStyle w:val="ListParagraph"/>
        <w:numPr>
          <w:ilvl w:val="0"/>
          <w:numId w:val="2"/>
        </w:numPr>
        <w:spacing w:after="120"/>
      </w:pPr>
      <w:r>
        <w:rPr>
          <w:rFonts w:ascii="Calibri" w:cs="Calibri" w:eastAsia="Calibri" w:hAnsi="Calibri"/>
          <w:color w:val="1A1A1A"/>
          <w:sz w:val="22"/>
          <w:szCs w:val="22"/>
        </w:rPr>
        <w:t xml:space="preserve">Get in touch if anything in this letter isn't clear. It's a genuinely new system and questions are normal</w:t>
      </w:r>
    </w:p>
    <w:tbl>
      <w:tblPr>
        <w:tblW w:type="pct" w:w="100%"/>
        <w:tblBorders>
          <w:top w:val="single" w:color="E2DFD9" w:sz="4"/>
          <w:left w:val="single" w:color="E2DFD9" w:sz="4"/>
          <w:bottom w:val="single" w:color="E2DFD9" w:sz="4"/>
          <w:right w:val="single" w:color="E2DFD9" w:sz="4"/>
          <w:insideH w:val="none" w:color="FFFFFF" w:sz="0"/>
          <w:insideV w:val="none" w:color="FFFFFF" w:sz="0"/>
        </w:tblBorders>
      </w:tblPr>
      <w:tblGrid>
        <w:gridCol w:w="100"/>
      </w:tblGrid>
      <w:tr>
        <w:tc>
          <w:tcPr>
            <w:tcW w:type="pct" w:w="100%"/>
            <w:shd w:fill="FDF3ED" w:color="auto" w:val="clear"/>
            <w:tcMar>
              <w:top w:type="dxa" w:w="200"/>
              <w:left w:type="dxa" w:w="240"/>
              <w:bottom w:type="dxa" w:w="200"/>
              <w:right w:type="dxa" w:w="240"/>
            </w:tcMar>
          </w:tcPr>
          <w:p>
            <w:pPr>
              <w:spacing w:after="100"/>
            </w:pPr>
            <w:r>
              <w:rPr>
                <w:rFonts w:ascii="Calibri" w:cs="Calibri" w:eastAsia="Calibri" w:hAnsi="Calibri"/>
                <w:b/>
                <w:bCs/>
                <w:color w:val="4A4E59"/>
                <w:sz w:val="20"/>
                <w:szCs w:val="20"/>
              </w:rPr>
              <w:t xml:space="preserve">One thing worth knowing:</w:t>
            </w:r>
          </w:p>
          <w:p>
            <w:pPr>
              <w:spacing w:after="0"/>
            </w:pPr>
            <w:r>
              <w:rPr>
                <w:rFonts w:ascii="Calibri" w:cs="Calibri" w:eastAsia="Calibri" w:hAnsi="Calibri"/>
                <w:b w:val="false"/>
                <w:bCs w:val="false"/>
                <w:color w:val="4A4E59"/>
                <w:sz w:val="20"/>
                <w:szCs w:val="20"/>
              </w:rPr>
              <w:t xml:space="preserve">This doesn't replace your Self Assessment for the 2025-26 tax year. That return is still due by the usual 31 January 2027 deadline, under the system you already know. MTD applies from your first quarterly period onward, and the two run alongside each other for now.</w:t>
            </w:r>
          </w:p>
        </w:tc>
      </w:tr>
    </w:tbl>
    <w:p>
      <w:pPr>
        <w:spacing w:after="200"/>
      </w:pPr>
      <w:r>
        <w:rPr>
          <w:rFonts w:ascii="Calibri" w:cs="Calibri" w:eastAsia="Calibri" w:hAnsi="Calibri"/>
          <w:b w:val="false"/>
          <w:bCs w:val="false"/>
          <w:i w:val="false"/>
          <w:iCs w:val="false"/>
          <w:color w:val="1A1A1A"/>
          <w:sz w:val="22"/>
          <w:szCs w:val="22"/>
        </w:rPr>
        <w:t xml:space="preserve">We're here for anything you'd like talked through, a call is easier than email for most people the first time. You can reach us on [phone number] or reply to this letter.</w:t>
      </w:r>
    </w:p>
    <w:p>
      <w:pPr>
        <w:spacing w:after="0" w:before="300"/>
      </w:pPr>
      <w:r>
        <w:rPr>
          <w:rFonts w:ascii="Calibri" w:cs="Calibri" w:eastAsia="Calibri" w:hAnsi="Calibri"/>
          <w:sz w:val="22"/>
          <w:szCs w:val="22"/>
        </w:rPr>
        <w:t xml:space="preserve">Kind regards,</w:t>
      </w:r>
    </w:p>
    <w:p>
      <w:pPr>
        <w:spacing w:after="0"/>
      </w:pPr>
      <w:r>
        <w:rPr>
          <w:rFonts w:ascii="Calibri" w:cs="Calibri" w:eastAsia="Calibri" w:hAnsi="Calibri"/>
          <w:b/>
          <w:bCs/>
          <w:sz w:val="22"/>
          <w:szCs w:val="22"/>
        </w:rPr>
        <w:t xml:space="preserve">[Your name]</w:t>
      </w:r>
    </w:p>
    <w:p>
      <w:r>
        <w:rPr>
          <w:rFonts w:ascii="Calibri" w:cs="Calibri" w:eastAsia="Calibri" w:hAnsi="Calibri"/>
          <w:color w:val="4A4E59"/>
          <w:sz w:val="22"/>
          <w:szCs w:val="22"/>
        </w:rPr>
        <w:t xml:space="preserve">[Practice name]</w:t>
      </w:r>
    </w:p>
    <w:p>
      <w:r>
        <w:br w:type="page"/>
      </w:r>
    </w:p>
    <w:p>
      <w:pPr>
        <w:spacing w:after="60"/>
      </w:pPr>
      <w:r>
        <w:rPr>
          <w:rFonts w:ascii="Calibri" w:cs="Calibri" w:eastAsia="Calibri" w:hAnsi="Calibri"/>
          <w:b/>
          <w:bCs/>
          <w:color w:val="D4622B"/>
          <w:sz w:val="20"/>
          <w:szCs w:val="20"/>
        </w:rPr>
        <w:t xml:space="preserve">SHORTER VERSION</w:t>
      </w:r>
    </w:p>
    <w:p>
      <w:pPr>
        <w:spacing w:after="320"/>
      </w:pPr>
      <w:r>
        <w:rPr>
          <w:rFonts w:ascii="Calibri" w:cs="Calibri" w:eastAsia="Calibri" w:hAnsi="Calibri"/>
          <w:color w:val="7A7F8C"/>
          <w:sz w:val="18"/>
          <w:szCs w:val="18"/>
        </w:rPr>
        <w:t xml:space="preserve">For clients approaching the April 2027 threshold, not yet mandated</w:t>
      </w:r>
    </w:p>
    <w:p>
      <w:pPr>
        <w:spacing w:after="40"/>
      </w:pPr>
      <w:r>
        <w:rPr>
          <w:rFonts w:ascii="Calibri" w:cs="Calibri" w:eastAsia="Calibri" w:hAnsi="Calibri"/>
          <w:i/>
          <w:iCs/>
          <w:color w:val="7A7F8C"/>
          <w:sz w:val="20"/>
          <w:szCs w:val="20"/>
        </w:rPr>
        <w:t xml:space="preserve">[Practice letterhead / logo]</w:t>
      </w:r>
    </w:p>
    <w:p>
      <w:pPr>
        <w:spacing w:after="320"/>
      </w:pPr>
      <w:r>
        <w:rPr>
          <w:rFonts w:ascii="Calibri" w:cs="Calibri" w:eastAsia="Calibri" w:hAnsi="Calibri"/>
          <w:i/>
          <w:iCs/>
          <w:color w:val="7A7F8C"/>
          <w:sz w:val="20"/>
          <w:szCs w:val="20"/>
        </w:rPr>
        <w:t xml:space="preserve">[Date]</w:t>
      </w:r>
    </w:p>
    <w:p>
      <w:pPr>
        <w:spacing w:after="200"/>
      </w:pPr>
      <w:r>
        <w:rPr>
          <w:rFonts w:ascii="Calibri" w:cs="Calibri" w:eastAsia="Calibri" w:hAnsi="Calibri"/>
          <w:b w:val="false"/>
          <w:bCs w:val="false"/>
          <w:i w:val="false"/>
          <w:iCs w:val="false"/>
          <w:color w:val="1A1A1A"/>
          <w:sz w:val="22"/>
          <w:szCs w:val="22"/>
        </w:rPr>
        <w:t xml:space="preserve">Dear [Client name],</w:t>
      </w:r>
    </w:p>
    <w:p>
      <w:pPr>
        <w:spacing w:after="160" w:before="300"/>
      </w:pPr>
      <w:r>
        <w:rPr>
          <w:rFonts w:ascii="Calibri" w:cs="Calibri" w:eastAsia="Calibri" w:hAnsi="Calibri"/>
          <w:b/>
          <w:bCs/>
          <w:color w:val="0C1E33"/>
          <w:sz w:val="24"/>
          <w:szCs w:val="24"/>
        </w:rPr>
        <w:t xml:space="preserve">A change that will reach you from April 2027</w:t>
      </w:r>
    </w:p>
    <w:p>
      <w:pPr>
        <w:spacing w:after="200"/>
      </w:pPr>
      <w:r>
        <w:rPr>
          <w:rFonts w:ascii="Calibri" w:cs="Calibri" w:eastAsia="Calibri" w:hAnsi="Calibri"/>
          <w:b w:val="false"/>
          <w:bCs w:val="false"/>
          <w:i w:val="false"/>
          <w:iCs w:val="false"/>
          <w:color w:val="1A1A1A"/>
          <w:sz w:val="22"/>
          <w:szCs w:val="22"/>
        </w:rPr>
        <w:t xml:space="preserve">Making Tax Digital for Income Tax is already live for anyone earning over £50,000 from self-employment or property. From April 2027, that threshold drops to £30,000, which brings you into scope.</w:t>
      </w:r>
    </w:p>
    <w:p>
      <w:pPr>
        <w:spacing w:after="200"/>
      </w:pPr>
      <w:r>
        <w:rPr>
          <w:rFonts w:ascii="Calibri" w:cs="Calibri" w:eastAsia="Calibri" w:hAnsi="Calibri"/>
          <w:b w:val="false"/>
          <w:bCs w:val="false"/>
          <w:i w:val="false"/>
          <w:iCs w:val="false"/>
          <w:color w:val="1A1A1A"/>
          <w:sz w:val="22"/>
          <w:szCs w:val="22"/>
        </w:rPr>
        <w:t xml:space="preserve">Nothing changes for you yet. This is just early notice, so it isn't a surprise when it does. Between now and then, we'll get your records set up on digital software in good time, so the switch is uneventful when it happens.</w:t>
      </w:r>
    </w:p>
    <w:p>
      <w:pPr>
        <w:spacing w:after="200"/>
      </w:pPr>
      <w:r>
        <w:rPr>
          <w:rFonts w:ascii="Calibri" w:cs="Calibri" w:eastAsia="Calibri" w:hAnsi="Calibri"/>
          <w:b w:val="false"/>
          <w:bCs w:val="false"/>
          <w:i w:val="false"/>
          <w:iCs w:val="false"/>
          <w:color w:val="1A1A1A"/>
          <w:sz w:val="22"/>
          <w:szCs w:val="22"/>
        </w:rPr>
        <w:t xml:space="preserve">If you'd like to get ahead of it sooner rather than later, we're happy to set things up now. Otherwise, we'll be in touch well before the deadline with what to expect.</w:t>
      </w:r>
    </w:p>
    <w:p>
      <w:pPr>
        <w:spacing w:after="0" w:before="300"/>
      </w:pPr>
      <w:r>
        <w:rPr>
          <w:rFonts w:ascii="Calibri" w:cs="Calibri" w:eastAsia="Calibri" w:hAnsi="Calibri"/>
          <w:sz w:val="22"/>
          <w:szCs w:val="22"/>
        </w:rPr>
        <w:t xml:space="preserve">Kind regards,</w:t>
      </w:r>
    </w:p>
    <w:p>
      <w:pPr>
        <w:spacing w:after="0"/>
      </w:pPr>
      <w:r>
        <w:rPr>
          <w:rFonts w:ascii="Calibri" w:cs="Calibri" w:eastAsia="Calibri" w:hAnsi="Calibri"/>
          <w:b/>
          <w:bCs/>
          <w:sz w:val="22"/>
          <w:szCs w:val="22"/>
        </w:rPr>
        <w:t xml:space="preserve">[Your name]</w:t>
      </w:r>
    </w:p>
    <w:p>
      <w:r>
        <w:rPr>
          <w:rFonts w:ascii="Calibri" w:cs="Calibri" w:eastAsia="Calibri" w:hAnsi="Calibri"/>
          <w:color w:val="4A4E59"/>
          <w:sz w:val="22"/>
          <w:szCs w:val="22"/>
        </w:rPr>
        <w:t xml:space="preserve">[Practice name]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2026-08-31T16:01:01.587Z</dcterms:created>
  <dcterms:modified xsi:type="dcterms:W3CDTF">2026-08-31T16:01:01.604Z</dcterms:modified>
</cp:coreProperties>
</file>

<file path=docProps/custom.xml><?xml version="1.0" encoding="utf-8"?>
<Properties xmlns="http://schemas.openxmlformats.org/officeDocument/2006/custom-properties" xmlns:vt="http://schemas.openxmlformats.org/officeDocument/2006/docPropsVTypes"/>
</file>